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bookmarkStart w:id="0" w:name="_GoBack"/>
      <w:bookmarkEnd w:id="0"/>
    </w:p>
    <w:p>
      <w:pPr>
        <w:jc w:val="center"/>
        <w:rPr>
          <w:rFonts w:hint="eastAsia" w:eastAsia="方正小标宋_GBK"/>
          <w:sz w:val="48"/>
          <w:szCs w:val="48"/>
          <w:lang w:eastAsia="zh-CN"/>
        </w:rPr>
      </w:pPr>
      <w:r>
        <w:rPr>
          <w:rFonts w:hint="eastAsia" w:eastAsia="方正小标宋_GBK"/>
          <w:sz w:val="48"/>
          <w:szCs w:val="48"/>
        </w:rPr>
        <w:t>202</w:t>
      </w:r>
      <w:r>
        <w:rPr>
          <w:rFonts w:hint="eastAsia" w:eastAsia="方正小标宋_GBK"/>
          <w:sz w:val="48"/>
          <w:szCs w:val="48"/>
          <w:lang w:val="en-US" w:eastAsia="zh-CN"/>
        </w:rPr>
        <w:t>3</w:t>
      </w:r>
      <w:r>
        <w:rPr>
          <w:rFonts w:eastAsia="方正小标宋_GBK"/>
          <w:sz w:val="48"/>
          <w:szCs w:val="48"/>
        </w:rPr>
        <w:t>年度</w:t>
      </w:r>
      <w:r>
        <w:rPr>
          <w:rFonts w:hint="eastAsia" w:eastAsia="方正小标宋_GBK"/>
          <w:sz w:val="48"/>
          <w:szCs w:val="48"/>
          <w:lang w:eastAsia="zh-CN"/>
        </w:rPr>
        <w:t>江永</w:t>
      </w:r>
      <w:r>
        <w:rPr>
          <w:rFonts w:hint="eastAsia" w:eastAsia="方正小标宋_GBK"/>
          <w:sz w:val="48"/>
          <w:szCs w:val="48"/>
          <w:lang w:val="en-US" w:eastAsia="zh-CN"/>
        </w:rPr>
        <w:t>工业集中区</w:t>
      </w:r>
      <w:r>
        <w:rPr>
          <w:rFonts w:hint="eastAsia" w:eastAsia="方正小标宋_GBK"/>
          <w:sz w:val="48"/>
          <w:szCs w:val="48"/>
          <w:lang w:eastAsia="zh-CN"/>
        </w:rPr>
        <w:t>幼儿园</w:t>
      </w:r>
    </w:p>
    <w:p>
      <w:pPr>
        <w:jc w:val="center"/>
        <w:rPr>
          <w:rFonts w:eastAsia="方正小标宋_GBK"/>
          <w:sz w:val="48"/>
          <w:szCs w:val="48"/>
        </w:rPr>
      </w:pPr>
      <w:r>
        <w:rPr>
          <w:rFonts w:eastAsia="方正小标宋_GBK"/>
          <w:sz w:val="48"/>
          <w:szCs w:val="48"/>
        </w:rPr>
        <w:t>整体支出绩效自评报告</w:t>
      </w:r>
    </w:p>
    <w:p>
      <w:pPr>
        <w:jc w:val="center"/>
        <w:rPr>
          <w:rFonts w:hint="eastAsia" w:eastAsia="楷体_GB2312"/>
          <w:b/>
          <w:sz w:val="32"/>
          <w:szCs w:val="32"/>
        </w:rPr>
      </w:pPr>
      <w:r>
        <w:rPr>
          <w:rFonts w:hint="eastAsia" w:eastAsia="楷体_GB2312"/>
          <w:b/>
          <w:sz w:val="32"/>
          <w:szCs w:val="32"/>
        </w:rPr>
        <w:t xml:space="preserve"> </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单位名称（盖章）：</w:t>
      </w:r>
      <w:r>
        <w:rPr>
          <w:rFonts w:hint="eastAsia" w:eastAsia="黑体"/>
          <w:sz w:val="36"/>
          <w:szCs w:val="36"/>
        </w:rPr>
        <w:t>江永</w:t>
      </w:r>
      <w:r>
        <w:rPr>
          <w:rFonts w:hint="eastAsia" w:eastAsia="黑体"/>
          <w:sz w:val="36"/>
          <w:szCs w:val="36"/>
          <w:lang w:val="en-US" w:eastAsia="zh-CN"/>
        </w:rPr>
        <w:t>工业集中区</w:t>
      </w:r>
      <w:r>
        <w:rPr>
          <w:rFonts w:hint="eastAsia" w:eastAsia="黑体"/>
          <w:sz w:val="36"/>
          <w:szCs w:val="36"/>
        </w:rPr>
        <w:t>幼儿园</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江永</w:t>
      </w:r>
      <w:r>
        <w:rPr>
          <w:rFonts w:hint="eastAsia" w:asciiTheme="minorEastAsia" w:hAnsiTheme="minorEastAsia" w:eastAsiaTheme="minorEastAsia" w:cstheme="minorEastAsia"/>
          <w:sz w:val="28"/>
          <w:szCs w:val="28"/>
          <w:lang w:val="en-US" w:eastAsia="zh-CN"/>
        </w:rPr>
        <w:t>工业集中区</w:t>
      </w:r>
      <w:r>
        <w:rPr>
          <w:rFonts w:hint="eastAsia" w:asciiTheme="minorEastAsia" w:hAnsiTheme="minorEastAsia" w:eastAsiaTheme="minorEastAsia" w:cstheme="minorEastAsia"/>
          <w:sz w:val="28"/>
          <w:szCs w:val="28"/>
          <w:lang w:eastAsia="zh-CN"/>
        </w:rPr>
        <w:t>幼儿园坐落于江永县</w:t>
      </w:r>
      <w:r>
        <w:rPr>
          <w:rFonts w:hint="eastAsia" w:asciiTheme="minorEastAsia" w:hAnsiTheme="minorEastAsia" w:eastAsiaTheme="minorEastAsia" w:cstheme="minorEastAsia"/>
          <w:sz w:val="28"/>
          <w:szCs w:val="28"/>
          <w:lang w:val="en-US" w:eastAsia="zh-CN"/>
        </w:rPr>
        <w:t>工业园</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eastAsia="zh-CN"/>
        </w:rPr>
        <w:t>上半年在园幼儿</w:t>
      </w:r>
      <w:r>
        <w:rPr>
          <w:rFonts w:hint="eastAsia" w:asciiTheme="minorEastAsia" w:hAnsiTheme="minorEastAsia" w:eastAsiaTheme="minorEastAsia" w:cstheme="minorEastAsia"/>
          <w:sz w:val="28"/>
          <w:szCs w:val="28"/>
          <w:lang w:val="en-US" w:eastAsia="zh-CN"/>
        </w:rPr>
        <w:t>189人，2023年下半年在园幼儿191人，园内在职在编幼师9人，单位</w:t>
      </w:r>
      <w:r>
        <w:rPr>
          <w:rFonts w:hint="eastAsia" w:asciiTheme="minorEastAsia" w:hAnsiTheme="minorEastAsia" w:eastAsiaTheme="minorEastAsia" w:cstheme="minorEastAsia"/>
          <w:sz w:val="28"/>
          <w:szCs w:val="28"/>
          <w:lang w:eastAsia="zh-CN"/>
        </w:rPr>
        <w:t>宗旨是为学龄前儿童提供保育和教育服务，业务范围是幼儿保育，幼儿教育。</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年年度一般公共预算安排</w:t>
      </w:r>
      <w:r>
        <w:rPr>
          <w:rFonts w:hint="eastAsia" w:asciiTheme="minorEastAsia" w:hAnsiTheme="minorEastAsia" w:eastAsiaTheme="minorEastAsia" w:cstheme="minorEastAsia"/>
          <w:sz w:val="28"/>
          <w:szCs w:val="28"/>
          <w:lang w:val="en-US" w:eastAsia="zh-CN"/>
        </w:rPr>
        <w:t>133.98</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其中人员经费</w:t>
      </w:r>
      <w:r>
        <w:rPr>
          <w:rFonts w:hint="eastAsia" w:asciiTheme="minorEastAsia" w:hAnsiTheme="minorEastAsia" w:eastAsiaTheme="minorEastAsia" w:cstheme="minorEastAsia"/>
          <w:sz w:val="28"/>
          <w:szCs w:val="28"/>
          <w:lang w:val="en-US" w:eastAsia="zh-CN"/>
        </w:rPr>
        <w:t>102.37万元</w:t>
      </w:r>
      <w:r>
        <w:rPr>
          <w:rFonts w:hint="eastAsia" w:asciiTheme="minorEastAsia" w:hAnsiTheme="minorEastAsia" w:eastAsiaTheme="minorEastAsia" w:cstheme="minorEastAsia"/>
          <w:sz w:val="28"/>
          <w:szCs w:val="28"/>
          <w:lang w:eastAsia="zh-CN"/>
        </w:rPr>
        <w:t>，公用经费</w:t>
      </w:r>
      <w:r>
        <w:rPr>
          <w:rFonts w:hint="eastAsia" w:asciiTheme="minorEastAsia" w:hAnsiTheme="minorEastAsia" w:eastAsiaTheme="minorEastAsia" w:cstheme="minorEastAsia"/>
          <w:sz w:val="28"/>
          <w:szCs w:val="28"/>
          <w:lang w:val="en-US" w:eastAsia="zh-CN"/>
        </w:rPr>
        <w:t>31.61万元。</w:t>
      </w:r>
    </w:p>
    <w:p>
      <w:pPr>
        <w:spacing w:line="600" w:lineRule="exact"/>
        <w:ind w:firstLine="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  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年江永</w:t>
      </w:r>
      <w:r>
        <w:rPr>
          <w:rFonts w:hint="eastAsia" w:asciiTheme="minorEastAsia" w:hAnsiTheme="minorEastAsia" w:eastAsiaTheme="minorEastAsia" w:cstheme="minorEastAsia"/>
          <w:sz w:val="28"/>
          <w:szCs w:val="28"/>
          <w:lang w:val="en-US" w:eastAsia="zh-CN"/>
        </w:rPr>
        <w:t>工业集中区</w:t>
      </w:r>
      <w:r>
        <w:rPr>
          <w:rFonts w:hint="eastAsia" w:asciiTheme="minorEastAsia" w:hAnsiTheme="minorEastAsia" w:eastAsiaTheme="minorEastAsia" w:cstheme="minorEastAsia"/>
          <w:sz w:val="28"/>
          <w:szCs w:val="28"/>
          <w:lang w:eastAsia="zh-CN"/>
        </w:rPr>
        <w:t>幼儿园</w:t>
      </w:r>
      <w:r>
        <w:rPr>
          <w:rFonts w:hint="eastAsia" w:asciiTheme="minorEastAsia" w:hAnsiTheme="minorEastAsia" w:eastAsiaTheme="minorEastAsia" w:cstheme="minorEastAsia"/>
          <w:sz w:val="28"/>
          <w:szCs w:val="28"/>
        </w:rPr>
        <w:t>用于单位正常运转及人员经费共</w:t>
      </w:r>
      <w:r>
        <w:rPr>
          <w:rFonts w:hint="eastAsia" w:asciiTheme="minorEastAsia" w:hAnsiTheme="minorEastAsia" w:eastAsiaTheme="minorEastAsia" w:cstheme="minorEastAsia"/>
          <w:sz w:val="28"/>
          <w:szCs w:val="28"/>
          <w:lang w:val="en-US" w:eastAsia="zh-CN"/>
        </w:rPr>
        <w:t>133.98</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w:t>
      </w:r>
    </w:p>
    <w:p>
      <w:pPr>
        <w:pStyle w:val="7"/>
        <w:spacing w:line="600" w:lineRule="exact"/>
        <w:ind w:firstLine="0" w:firstLineChars="0"/>
        <w:rPr>
          <w:rFonts w:ascii="Times New Roman" w:hAnsi="Times New Roman" w:eastAsia="楷体_GB2312"/>
          <w:b/>
          <w:sz w:val="32"/>
          <w:szCs w:val="32"/>
        </w:rPr>
      </w:pPr>
      <w:r>
        <w:rPr>
          <w:rFonts w:hint="eastAsia" w:ascii="Times New Roman" w:hAnsi="Times New Roman" w:eastAsia="楷体_GB2312"/>
          <w:b/>
          <w:sz w:val="32"/>
          <w:szCs w:val="32"/>
        </w:rPr>
        <w:t xml:space="preserve">  </w:t>
      </w:r>
      <w:r>
        <w:rPr>
          <w:rFonts w:ascii="Times New Roman" w:hAnsi="Times New Roman" w:eastAsia="楷体_GB2312"/>
          <w:b/>
          <w:sz w:val="32"/>
          <w:szCs w:val="32"/>
        </w:rPr>
        <w:t>（二）项目支出情况</w:t>
      </w:r>
    </w:p>
    <w:p>
      <w:pPr>
        <w:ind w:firstLine="640" w:firstLineChars="200"/>
        <w:rPr>
          <w:rFonts w:hint="eastAsia" w:ascii="仿宋_GB2312" w:hAnsi="仿宋_GB2312" w:eastAsia="仿宋_GB2312" w:cs="仿宋_GB2312"/>
          <w:sz w:val="32"/>
          <w:szCs w:val="32"/>
          <w:lang w:val="en-US" w:eastAsia="zh-CN"/>
        </w:rPr>
      </w:pPr>
      <w:r>
        <w:rPr>
          <w:rFonts w:hint="eastAsia" w:ascii="Times New Roman" w:hAnsi="Times New Roman" w:eastAsia="楷体_GB2312"/>
          <w:bCs/>
          <w:sz w:val="32"/>
          <w:szCs w:val="32"/>
        </w:rPr>
        <w:t xml:space="preserve"> </w:t>
      </w:r>
      <w:r>
        <w:rPr>
          <w:rFonts w:hint="eastAsia" w:ascii="Times New Roman" w:hAnsi="Times New Roman" w:eastAsia="楷体_GB2312"/>
          <w:bCs/>
          <w:sz w:val="32"/>
          <w:szCs w:val="32"/>
          <w:lang w:val="en-US" w:eastAsia="zh-CN"/>
        </w:rPr>
        <w:t xml:space="preserve"> </w:t>
      </w:r>
      <w:r>
        <w:rPr>
          <w:rFonts w:hint="eastAsia" w:ascii="仿宋_GB2312" w:hAnsi="仿宋_GB2312" w:eastAsia="仿宋_GB2312" w:cs="仿宋_GB2312"/>
          <w:sz w:val="32"/>
          <w:szCs w:val="32"/>
        </w:rPr>
        <w:t>2023年度,</w:t>
      </w:r>
      <w:r>
        <w:rPr>
          <w:rFonts w:hint="eastAsia" w:ascii="仿宋_GB2312" w:hAnsi="仿宋_GB2312" w:eastAsia="仿宋_GB2312" w:cs="仿宋_GB2312"/>
          <w:sz w:val="32"/>
          <w:szCs w:val="32"/>
          <w:lang w:eastAsia="zh-CN"/>
        </w:rPr>
        <w:t>我园</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eastAsia="zh-CN"/>
        </w:rPr>
        <w:t>设备采购</w:t>
      </w:r>
      <w:r>
        <w:rPr>
          <w:rFonts w:hint="eastAsia" w:ascii="仿宋_GB2312" w:hAnsi="仿宋_GB2312" w:eastAsia="仿宋_GB2312" w:cs="仿宋_GB2312"/>
          <w:sz w:val="32"/>
          <w:szCs w:val="32"/>
          <w:lang w:val="en-US" w:eastAsia="zh-CN"/>
        </w:rPr>
        <w:t>92.819万元，用于大型设备采购。</w:t>
      </w:r>
    </w:p>
    <w:p>
      <w:pPr>
        <w:spacing w:line="560" w:lineRule="exact"/>
        <w:ind w:firstLine="640" w:firstLineChars="200"/>
        <w:rPr>
          <w:rFonts w:hint="default" w:eastAsia="楷体_GB2312" w:asciiTheme="minorEastAsia" w:hAnsiTheme="minorEastAsia" w:cstheme="minorEastAsia"/>
          <w:sz w:val="28"/>
          <w:szCs w:val="28"/>
          <w:lang w:val="en-US" w:eastAsia="zh-CN"/>
        </w:rPr>
      </w:pPr>
      <w:r>
        <w:rPr>
          <w:rFonts w:hint="eastAsia" w:ascii="Times New Roman" w:hAnsi="Times New Roman" w:eastAsia="楷体_GB2312"/>
          <w:bCs/>
          <w:sz w:val="32"/>
          <w:szCs w:val="32"/>
          <w:lang w:val="en-US" w:eastAsia="zh-CN"/>
        </w:rPr>
        <w:t xml:space="preserve"> </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lang w:val="en-US" w:eastAsia="zh-CN"/>
        </w:rPr>
        <w:t>幼儿园一体机音响，摄像头</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lang w:val="en-US" w:eastAsia="zh-CN"/>
        </w:rPr>
        <w:t>10.15万元、设施设备采购费61.2835万元、窗帘采购费4.1115万元、电风扇，空调采购费4.7760万元、区域柜采购费12.308万元、教师上下双人床0.19万元。幼儿园全园教师对采购的设备进行检查验收</w:t>
      </w:r>
      <w:r>
        <w:rPr>
          <w:rFonts w:hint="eastAsia" w:ascii="仿宋_GB2312" w:hAnsi="仿宋_GB2312" w:eastAsia="仿宋_GB2312" w:cs="仿宋_GB2312"/>
          <w:sz w:val="32"/>
          <w:szCs w:val="32"/>
        </w:rPr>
        <w:t>，严格把关，保证质量。</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7"/>
        <w:spacing w:line="600" w:lineRule="exact"/>
        <w:ind w:firstLine="1280" w:firstLineChars="400"/>
        <w:rPr>
          <w:rFonts w:ascii="Times New Roman" w:hAnsi="Times New Roman" w:eastAsia="楷体_GB2312"/>
          <w:bCs/>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7"/>
        <w:spacing w:line="600" w:lineRule="exact"/>
        <w:ind w:firstLine="1280" w:firstLineChars="400"/>
        <w:rPr>
          <w:rFonts w:ascii="Times New Roman" w:hAnsi="Times New Roman" w:eastAsia="黑体"/>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7"/>
        <w:spacing w:line="600" w:lineRule="exact"/>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年机关事业单位基本养老保险缴费支出</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21.74</w:t>
      </w:r>
      <w:r>
        <w:rPr>
          <w:rFonts w:hint="eastAsia" w:asciiTheme="minorEastAsia" w:hAnsiTheme="minorEastAsia" w:eastAsiaTheme="minorEastAsia" w:cstheme="minorEastAsia"/>
          <w:sz w:val="28"/>
          <w:szCs w:val="28"/>
        </w:rPr>
        <w:t>万元，职工基本医疗保险缴费支出</w:t>
      </w:r>
      <w:r>
        <w:rPr>
          <w:rFonts w:hint="eastAsia" w:asciiTheme="minorEastAsia" w:hAnsiTheme="minorEastAsia" w:eastAsiaTheme="minorEastAsia" w:cstheme="minorEastAsia"/>
          <w:sz w:val="28"/>
          <w:szCs w:val="28"/>
          <w:highlight w:val="none"/>
          <w:lang w:val="en-US" w:eastAsia="zh-CN"/>
        </w:rPr>
        <w:t>10.41</w:t>
      </w:r>
      <w:r>
        <w:rPr>
          <w:rFonts w:hint="eastAsia" w:asciiTheme="minorEastAsia" w:hAnsiTheme="minorEastAsia" w:eastAsiaTheme="minorEastAsia" w:cstheme="minorEastAsia"/>
          <w:sz w:val="28"/>
          <w:szCs w:val="28"/>
        </w:rPr>
        <w:t>万元，其他社会保障缴费支出</w:t>
      </w:r>
      <w:r>
        <w:rPr>
          <w:rFonts w:hint="eastAsia" w:asciiTheme="minorEastAsia" w:hAnsiTheme="minorEastAsia" w:eastAsiaTheme="minorEastAsia" w:cstheme="minorEastAsia"/>
          <w:sz w:val="28"/>
          <w:szCs w:val="28"/>
          <w:highlight w:val="none"/>
          <w:lang w:val="en-US" w:eastAsia="zh-CN"/>
        </w:rPr>
        <w:t>25.24</w:t>
      </w:r>
      <w:r>
        <w:rPr>
          <w:rFonts w:hint="eastAsia" w:asciiTheme="minorEastAsia" w:hAnsiTheme="minorEastAsia" w:eastAsiaTheme="minorEastAsia" w:cstheme="minorEastAsia"/>
          <w:sz w:val="28"/>
          <w:szCs w:val="28"/>
        </w:rPr>
        <w:t>万元。社会保险基金预算支出共计</w:t>
      </w:r>
      <w:r>
        <w:rPr>
          <w:rFonts w:hint="eastAsia" w:asciiTheme="minorEastAsia" w:hAnsiTheme="minorEastAsia" w:eastAsiaTheme="minorEastAsia" w:cstheme="minorEastAsia"/>
          <w:sz w:val="28"/>
          <w:szCs w:val="28"/>
          <w:highlight w:val="none"/>
          <w:lang w:val="en-US" w:eastAsia="zh-CN"/>
        </w:rPr>
        <w:t>57.39</w:t>
      </w:r>
      <w:r>
        <w:rPr>
          <w:rFonts w:hint="eastAsia" w:asciiTheme="minorEastAsia" w:hAnsiTheme="minorEastAsia" w:eastAsiaTheme="minorEastAsia" w:cstheme="minorEastAsia"/>
          <w:sz w:val="28"/>
          <w:szCs w:val="28"/>
        </w:rPr>
        <w:t>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4"/>
        <w:widowControl/>
        <w:spacing w:beforeAutospacing="0" w:afterAutospacing="0" w:line="33" w:lineRule="atLeast"/>
        <w:ind w:firstLine="560" w:firstLineChars="200"/>
        <w:jc w:val="both"/>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rPr>
        <w:t>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我单位积极履职，强化管理，较好地完成了年度工作目标。通过加强预算收支管理，不断建立健全内部管理制度，梳理内部管理流程，部门整体支出管理水平得到提升。根据部门整体支出绩效评价指标体系，我单位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年度评价得分为</w:t>
      </w:r>
      <w:r>
        <w:rPr>
          <w:rFonts w:hint="eastAsia" w:asciiTheme="minorEastAsia" w:hAnsiTheme="minorEastAsia" w:eastAsiaTheme="minorEastAsia" w:cstheme="minorEastAsia"/>
          <w:kern w:val="2"/>
          <w:sz w:val="28"/>
          <w:szCs w:val="28"/>
          <w:lang w:val="en-US" w:eastAsia="zh-CN"/>
        </w:rPr>
        <w:t>100</w:t>
      </w:r>
      <w:r>
        <w:rPr>
          <w:rFonts w:hint="eastAsia" w:asciiTheme="minorEastAsia" w:hAnsiTheme="minorEastAsia" w:eastAsiaTheme="minorEastAsia" w:cstheme="minorEastAsia"/>
          <w:kern w:val="2"/>
          <w:sz w:val="28"/>
          <w:szCs w:val="28"/>
        </w:rPr>
        <w:t>分。部门整体支出绩效情况</w:t>
      </w:r>
      <w:r>
        <w:rPr>
          <w:rFonts w:hint="eastAsia" w:asciiTheme="minorEastAsia" w:hAnsiTheme="minorEastAsia" w:eastAsiaTheme="minorEastAsia" w:cstheme="minorEastAsia"/>
          <w:kern w:val="2"/>
          <w:sz w:val="28"/>
          <w:szCs w:val="28"/>
          <w:lang w:eastAsia="zh-CN"/>
        </w:rPr>
        <w:t>中，</w:t>
      </w:r>
      <w:r>
        <w:rPr>
          <w:rFonts w:hint="eastAsia" w:asciiTheme="minorEastAsia" w:hAnsiTheme="minorEastAsia" w:eastAsiaTheme="minorEastAsia" w:cstheme="minorEastAsia"/>
          <w:kern w:val="2"/>
          <w:sz w:val="28"/>
          <w:szCs w:val="28"/>
          <w:lang w:val="en-US" w:eastAsia="zh-CN"/>
        </w:rPr>
        <w:t>部门资金使用率得分10分，其他分值如下：</w:t>
      </w:r>
    </w:p>
    <w:tbl>
      <w:tblPr>
        <w:tblStyle w:val="5"/>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iCs w:val="0"/>
                <w:color w:val="000000"/>
                <w:kern w:val="0"/>
                <w:sz w:val="20"/>
                <w:szCs w:val="20"/>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教师培训次数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4次</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教师考核人数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贫困生资助数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教师节慰问金发放人数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学生人数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幼儿在园率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教师合格率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校园建设完成率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教师节慰问金发放完成率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贫困生支助完成率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时效指标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pPr>
            <w:r>
              <w:rPr>
                <w:rFonts w:hint="eastAsia" w:ascii="仿宋_GB2312" w:hAnsi="宋体" w:eastAsia="仿宋_GB2312" w:cs="仿宋_GB2312"/>
                <w:i w:val="0"/>
                <w:iCs w:val="0"/>
                <w:color w:val="000000"/>
                <w:kern w:val="0"/>
                <w:sz w:val="20"/>
                <w:szCs w:val="20"/>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经济效益指标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0"/>
                <w:szCs w:val="20"/>
                <w:u w:val="none"/>
                <w:lang w:val="en-US" w:eastAsia="zh-CN" w:bidi="ar"/>
              </w:rPr>
              <w:t>提高教师生活水平</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提高教师教学水平，提升幼儿素质，提高幼儿园办园质量</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改善办园环境</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可持续发展</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服务对象满意度</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成本指标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项目支出</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21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基本支出</w:t>
            </w:r>
          </w:p>
        </w:tc>
        <w:tc>
          <w:tcPr>
            <w:tcW w:w="14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12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kern w:val="0"/>
                <w:sz w:val="20"/>
                <w:szCs w:val="20"/>
                <w:u w:val="none"/>
                <w:lang w:val="en-US" w:eastAsia="zh-CN" w:bidi="ar"/>
              </w:rPr>
            </w:pPr>
          </w:p>
        </w:tc>
        <w:tc>
          <w:tcPr>
            <w:tcW w:w="148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1249"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宋体" w:hAnsi="宋体" w:eastAsia="宋体" w:cs="宋体"/>
                <w:i w:val="0"/>
                <w:iCs w:val="0"/>
                <w:color w:val="000000"/>
                <w:kern w:val="0"/>
                <w:sz w:val="22"/>
                <w:szCs w:val="22"/>
                <w:u w:val="none"/>
                <w:lang w:val="en-US" w:eastAsia="zh-CN" w:bidi="ar"/>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生态环境成本指标</w:t>
            </w:r>
          </w:p>
        </w:tc>
        <w:tc>
          <w:tcPr>
            <w:tcW w:w="217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kern w:val="0"/>
                <w:sz w:val="20"/>
                <w:szCs w:val="20"/>
                <w:u w:val="none"/>
                <w:lang w:val="en-US" w:eastAsia="zh-CN" w:bidi="ar"/>
              </w:rPr>
            </w:pPr>
          </w:p>
        </w:tc>
        <w:tc>
          <w:tcPr>
            <w:tcW w:w="148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1249"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kern w:val="0"/>
                <w:sz w:val="20"/>
                <w:szCs w:val="20"/>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kern w:val="0"/>
                <w:sz w:val="20"/>
                <w:szCs w:val="20"/>
                <w:u w:val="none"/>
                <w:lang w:val="en-US" w:eastAsia="zh-CN" w:bidi="ar"/>
              </w:rPr>
            </w:pPr>
          </w:p>
        </w:tc>
      </w:tr>
    </w:tbl>
    <w:p>
      <w:pPr>
        <w:pStyle w:val="7"/>
        <w:spacing w:line="600" w:lineRule="exact"/>
        <w:ind w:left="0" w:leftChars="0" w:firstLine="0" w:firstLineChars="0"/>
        <w:rPr>
          <w:rFonts w:ascii="Times New Roman" w:hAnsi="Times New Roman" w:eastAsia="黑体"/>
          <w:sz w:val="32"/>
          <w:szCs w:val="32"/>
        </w:rPr>
      </w:pPr>
    </w:p>
    <w:p>
      <w:pPr>
        <w:pStyle w:val="7"/>
        <w:spacing w:line="600" w:lineRule="exact"/>
        <w:ind w:left="0" w:leftChars="0" w:firstLine="0" w:firstLineChars="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1.预算编制工作有待细化。预算编制不够明确和细化，预算编制的合理性需要提高，预算执行力度还要进一步加强。2.财务制度不够健全。3.相关人员对预算业务有待进一步加强。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560" w:firstLineChars="200"/>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针对上述存在的问题及对外整体支出管理工作的需要，拟实施的改进措施如下：</w:t>
      </w:r>
    </w:p>
    <w:p>
      <w:pPr>
        <w:pStyle w:val="4"/>
        <w:widowControl/>
        <w:spacing w:beforeAutospacing="0" w:afterAutospacing="0" w:line="33" w:lineRule="atLeast"/>
        <w:ind w:firstLine="826" w:firstLineChars="295"/>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4"/>
        <w:widowControl/>
        <w:spacing w:beforeAutospacing="0" w:afterAutospacing="0" w:line="33" w:lineRule="atLeast"/>
        <w:ind w:firstLine="826" w:firstLineChars="295"/>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2.加强财务管理，严格财务审核。进一步加强单位财务管理，健全单位财务管理制度体系，规范单位财务行为。</w:t>
      </w:r>
    </w:p>
    <w:p>
      <w:pPr>
        <w:pStyle w:val="4"/>
        <w:widowControl/>
        <w:spacing w:beforeAutospacing="0" w:afterAutospacing="0" w:line="33" w:lineRule="atLeast"/>
        <w:ind w:firstLine="200"/>
        <w:jc w:val="both"/>
        <w:rPr>
          <w:rFonts w:hint="eastAsia" w:ascii="微软雅黑" w:hAnsi="微软雅黑" w:eastAsia="微软雅黑" w:cs="微软雅黑"/>
          <w:color w:val="333333"/>
        </w:rPr>
      </w:pPr>
      <w:r>
        <w:rPr>
          <w:rFonts w:hint="eastAsia" w:asciiTheme="minorEastAsia" w:hAnsiTheme="minorEastAsia" w:eastAsiaTheme="minorEastAsia" w:cstheme="minorEastAsia"/>
          <w:kern w:val="2"/>
          <w:sz w:val="28"/>
          <w:szCs w:val="28"/>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color w:val="333333"/>
        </w:rPr>
        <w:t>。</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p>
      <w:pPr>
        <w:widowControl/>
      </w:pPr>
    </w:p>
    <w:p>
      <w:pPr>
        <w:widowControl/>
      </w:pPr>
    </w:p>
    <w:p>
      <w:pPr>
        <w:widowControl/>
      </w:pPr>
    </w:p>
    <w:p>
      <w:pPr>
        <w:widowControl/>
      </w:pPr>
    </w:p>
    <w:p>
      <w:pPr>
        <w:widowControl/>
      </w:pPr>
    </w:p>
    <w:p>
      <w:pPr>
        <w:widowControl/>
        <w:jc w:val="center"/>
        <w:rPr>
          <w:rFonts w:hint="eastAsia"/>
          <w:sz w:val="36"/>
          <w:szCs w:val="44"/>
          <w:lang w:val="en-US" w:eastAsia="zh-CN"/>
        </w:rPr>
      </w:pPr>
    </w:p>
    <w:p>
      <w:pPr>
        <w:widowControl/>
        <w:jc w:val="both"/>
        <w:rPr>
          <w:rFonts w:hint="eastAsia"/>
          <w:sz w:val="36"/>
          <w:szCs w:val="44"/>
          <w:lang w:val="en-US" w:eastAsia="zh-CN"/>
        </w:rPr>
      </w:pPr>
      <w:r>
        <w:rPr>
          <w:rFonts w:hint="eastAsia"/>
          <w:sz w:val="36"/>
          <w:szCs w:val="44"/>
          <w:lang w:val="en-US" w:eastAsia="zh-CN"/>
        </w:rPr>
        <w:t>江永工业集中区幼儿园整体支出绩效评价基础数据表</w:t>
      </w:r>
    </w:p>
    <w:p>
      <w:pPr>
        <w:widowControl/>
        <w:jc w:val="right"/>
        <w:rPr>
          <w:rFonts w:hint="default"/>
          <w:sz w:val="22"/>
          <w:szCs w:val="28"/>
          <w:lang w:val="en-US" w:eastAsia="zh-CN"/>
        </w:rPr>
      </w:pPr>
      <w:r>
        <w:rPr>
          <w:rFonts w:hint="eastAsia"/>
          <w:sz w:val="32"/>
          <w:szCs w:val="40"/>
          <w:lang w:val="en-US" w:eastAsia="zh-CN"/>
        </w:rPr>
        <w:t xml:space="preserve">       </w:t>
      </w:r>
      <w:r>
        <w:rPr>
          <w:rFonts w:hint="eastAsia"/>
          <w:sz w:val="22"/>
          <w:szCs w:val="28"/>
          <w:lang w:val="en-US" w:eastAsia="zh-CN"/>
        </w:rPr>
        <w:t>单位：万元</w:t>
      </w:r>
    </w:p>
    <w:p>
      <w:pPr>
        <w:widowControl/>
      </w:pPr>
    </w:p>
    <w:tbl>
      <w:tblPr>
        <w:tblStyle w:val="5"/>
        <w:tblW w:w="96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98"/>
        <w:gridCol w:w="1080"/>
        <w:gridCol w:w="1350"/>
        <w:gridCol w:w="1020"/>
        <w:gridCol w:w="960"/>
        <w:gridCol w:w="1095"/>
        <w:gridCol w:w="2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编制数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2022年决算数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2023年预算数</w:t>
            </w:r>
          </w:p>
        </w:tc>
        <w:tc>
          <w:tcPr>
            <w:tcW w:w="3182"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三公经费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182" w:type="dxa"/>
            <w:gridSpan w:val="2"/>
            <w:tcBorders>
              <w:top w:val="single" w:color="auto"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其中：公车购置</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公车运行维护</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2、出国经费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3、公务接待</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1、业务工作经费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2、运行维护经费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209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江永工业集中区幼儿园设施设备于校舍维修</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其中：办公经费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水费、电费、差旅费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会议费、培训费</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政府采购金额</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0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w:t>
            </w:r>
          </w:p>
        </w:tc>
        <w:tc>
          <w:tcPr>
            <w:tcW w:w="10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330" w:type="dxa"/>
            <w:gridSpan w:val="3"/>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82" w:type="dxa"/>
            <w:gridSpan w:val="2"/>
            <w:tcBorders>
              <w:top w:val="single" w:color="000000"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2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（2023年完工项目）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批复规模 </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实际规模</w:t>
            </w:r>
          </w:p>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规模控制率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预算投资</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（万元）</w:t>
            </w:r>
          </w:p>
        </w:tc>
        <w:tc>
          <w:tcPr>
            <w:tcW w:w="109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实际投资</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（万元）</w:t>
            </w:r>
          </w:p>
        </w:tc>
        <w:tc>
          <w:tcPr>
            <w:tcW w:w="208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NaN</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759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widowControl/>
        <w:spacing w:line="560" w:lineRule="exact"/>
        <w:jc w:val="center"/>
        <w:rPr>
          <w:rFonts w:hint="eastAsia" w:ascii="黑体" w:hAnsi="黑体" w:eastAsia="黑体"/>
          <w:kern w:val="0"/>
          <w:sz w:val="44"/>
          <w:szCs w:val="44"/>
          <w:lang w:val="en-US" w:eastAsia="zh-CN"/>
        </w:rPr>
      </w:pPr>
    </w:p>
    <w:p>
      <w:pPr>
        <w:widowControl/>
        <w:spacing w:line="560" w:lineRule="exact"/>
        <w:jc w:val="center"/>
        <w:rPr>
          <w:rFonts w:hint="eastAsia" w:ascii="黑体" w:hAnsi="黑体" w:eastAsia="黑体"/>
          <w:kern w:val="0"/>
          <w:sz w:val="44"/>
          <w:szCs w:val="44"/>
          <w:lang w:val="en-US" w:eastAsia="zh-CN"/>
        </w:rPr>
      </w:pPr>
    </w:p>
    <w:p>
      <w:pPr>
        <w:widowControl/>
        <w:spacing w:line="560" w:lineRule="exact"/>
        <w:jc w:val="center"/>
        <w:rPr>
          <w:rFonts w:hint="eastAsia" w:ascii="黑体" w:hAnsi="黑体" w:eastAsia="黑体"/>
          <w:kern w:val="0"/>
          <w:sz w:val="44"/>
          <w:szCs w:val="44"/>
          <w:lang w:val="en-US" w:eastAsia="zh-CN"/>
        </w:rPr>
      </w:pPr>
    </w:p>
    <w:p>
      <w:pPr>
        <w:widowControl/>
        <w:spacing w:line="560" w:lineRule="exact"/>
        <w:jc w:val="center"/>
        <w:rPr>
          <w:rFonts w:hint="eastAsia" w:ascii="黑体" w:hAnsi="黑体" w:eastAsia="黑体"/>
          <w:kern w:val="0"/>
          <w:sz w:val="44"/>
          <w:szCs w:val="44"/>
          <w:lang w:val="en-US" w:eastAsia="zh-CN"/>
        </w:rPr>
      </w:pPr>
    </w:p>
    <w:p>
      <w:pPr>
        <w:widowControl/>
        <w:spacing w:line="560" w:lineRule="exact"/>
        <w:jc w:val="center"/>
        <w:rPr>
          <w:rFonts w:hint="eastAsia" w:ascii="黑体" w:hAnsi="黑体" w:eastAsia="黑体"/>
          <w:kern w:val="0"/>
          <w:sz w:val="40"/>
          <w:szCs w:val="40"/>
          <w:lang w:val="en-US" w:eastAsia="zh-CN"/>
        </w:rPr>
      </w:pPr>
      <w:r>
        <w:rPr>
          <w:rFonts w:hint="eastAsia" w:ascii="黑体" w:hAnsi="黑体" w:eastAsia="黑体"/>
          <w:kern w:val="0"/>
          <w:sz w:val="40"/>
          <w:szCs w:val="40"/>
          <w:lang w:val="en-US" w:eastAsia="zh-CN"/>
        </w:rPr>
        <w:t xml:space="preserve">   </w:t>
      </w: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p>
    <w:p>
      <w:pPr>
        <w:widowControl/>
        <w:spacing w:line="560" w:lineRule="exact"/>
        <w:jc w:val="center"/>
        <w:rPr>
          <w:rFonts w:hint="eastAsia" w:ascii="黑体" w:hAnsi="黑体" w:eastAsia="黑体"/>
          <w:kern w:val="0"/>
          <w:sz w:val="40"/>
          <w:szCs w:val="40"/>
          <w:lang w:val="en-US" w:eastAsia="zh-CN"/>
        </w:rPr>
      </w:pPr>
      <w:r>
        <w:rPr>
          <w:rFonts w:hint="eastAsia" w:ascii="黑体" w:hAnsi="黑体" w:eastAsia="黑体"/>
          <w:kern w:val="0"/>
          <w:sz w:val="40"/>
          <w:szCs w:val="40"/>
          <w:lang w:val="en-US" w:eastAsia="zh-CN"/>
        </w:rPr>
        <w:t xml:space="preserve"> </w:t>
      </w:r>
    </w:p>
    <w:p>
      <w:pPr>
        <w:widowControl/>
        <w:spacing w:line="560" w:lineRule="exact"/>
        <w:jc w:val="center"/>
        <w:rPr>
          <w:rFonts w:hint="default" w:ascii="黑体" w:hAnsi="黑体" w:eastAsia="黑体"/>
          <w:kern w:val="0"/>
          <w:sz w:val="40"/>
          <w:szCs w:val="40"/>
          <w:lang w:val="en-US" w:eastAsia="zh-CN"/>
        </w:rPr>
      </w:pPr>
      <w:r>
        <w:rPr>
          <w:rFonts w:hint="eastAsia" w:ascii="黑体" w:hAnsi="黑体" w:eastAsia="黑体"/>
          <w:kern w:val="0"/>
          <w:sz w:val="40"/>
          <w:szCs w:val="40"/>
          <w:lang w:val="en-US" w:eastAsia="zh-CN"/>
        </w:rPr>
        <w:t>江永工业集中区幼儿园部门整体支出自评表</w:t>
      </w:r>
    </w:p>
    <w:tbl>
      <w:tblPr>
        <w:tblStyle w:val="5"/>
        <w:tblW w:w="21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180"/>
        <w:gridCol w:w="375"/>
        <w:gridCol w:w="585"/>
        <w:gridCol w:w="615"/>
        <w:gridCol w:w="1800"/>
        <w:gridCol w:w="371"/>
        <w:gridCol w:w="1174"/>
        <w:gridCol w:w="240"/>
        <w:gridCol w:w="885"/>
        <w:gridCol w:w="630"/>
        <w:gridCol w:w="405"/>
        <w:gridCol w:w="240"/>
        <w:gridCol w:w="371"/>
        <w:gridCol w:w="184"/>
        <w:gridCol w:w="52"/>
        <w:gridCol w:w="743"/>
        <w:gridCol w:w="330"/>
        <w:gridCol w:w="4970"/>
        <w:gridCol w:w="4477"/>
        <w:gridCol w:w="2024"/>
        <w:gridCol w:w="222"/>
        <w:gridCol w:w="743"/>
        <w:gridCol w:w="1948"/>
        <w:gridCol w:w="5720"/>
        <w:gridCol w:w="1853"/>
        <w:gridCol w:w="352"/>
        <w:gridCol w:w="1094"/>
        <w:gridCol w:w="222"/>
        <w:gridCol w:w="892"/>
        <w:gridCol w:w="546"/>
        <w:gridCol w:w="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00" w:hRule="atLeast"/>
        </w:trPr>
        <w:tc>
          <w:tcPr>
            <w:tcW w:w="765" w:type="dxa"/>
            <w:gridSpan w:val="2"/>
            <w:tcBorders>
              <w:top w:val="single" w:color="auto" w:sz="4" w:space="0"/>
              <w:left w:val="single" w:color="auto" w:sz="4" w:space="0"/>
              <w:bottom w:val="single" w:color="auto"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预算部门名称</w:t>
            </w:r>
          </w:p>
        </w:tc>
        <w:tc>
          <w:tcPr>
            <w:tcW w:w="9000" w:type="dxa"/>
            <w:gridSpan w:val="16"/>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江永县工业集中区幼儿园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480" w:hRule="atLeast"/>
        </w:trPr>
        <w:tc>
          <w:tcPr>
            <w:tcW w:w="765" w:type="dxa"/>
            <w:gridSpan w:val="2"/>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kern w:val="0"/>
                <w:sz w:val="20"/>
                <w:szCs w:val="20"/>
                <w:u w:val="none"/>
                <w:lang w:val="en-US" w:eastAsia="zh-CN" w:bidi="ar"/>
              </w:rPr>
            </w:pPr>
            <w:r>
              <w:rPr>
                <w:rFonts w:hint="eastAsia" w:ascii="Microsoft YaHei UI" w:hAnsi="Microsoft YaHei UI" w:eastAsia="Microsoft YaHei UI" w:cs="Microsoft YaHei UI"/>
                <w:i w:val="0"/>
                <w:iCs w:val="0"/>
                <w:color w:val="000000"/>
                <w:kern w:val="0"/>
                <w:sz w:val="20"/>
                <w:szCs w:val="20"/>
                <w:u w:val="none"/>
                <w:lang w:val="en-US" w:eastAsia="zh-CN" w:bidi="ar"/>
              </w:rPr>
              <w:t>年度预算申请</w:t>
            </w:r>
          </w:p>
          <w:p>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20"/>
                <w:szCs w:val="20"/>
                <w:u w:val="none"/>
              </w:rPr>
            </w:pPr>
            <w:r>
              <w:rPr>
                <w:rFonts w:hint="eastAsia" w:ascii="Microsoft YaHei UI" w:hAnsi="Microsoft YaHei UI" w:eastAsia="Microsoft YaHei UI" w:cs="Microsoft YaHei UI"/>
                <w:i w:val="0"/>
                <w:iCs w:val="0"/>
                <w:color w:val="000000"/>
                <w:kern w:val="0"/>
                <w:sz w:val="20"/>
                <w:szCs w:val="20"/>
                <w:u w:val="none"/>
                <w:lang w:val="en-US" w:eastAsia="zh-CN" w:bidi="ar"/>
              </w:rPr>
              <w:t>(万元)</w:t>
            </w:r>
          </w:p>
        </w:tc>
        <w:tc>
          <w:tcPr>
            <w:tcW w:w="157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年初预算数(万元)</w:t>
            </w:r>
          </w:p>
        </w:tc>
        <w:tc>
          <w:tcPr>
            <w:tcW w:w="1785"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全年预算数（万元）</w:t>
            </w:r>
          </w:p>
        </w:tc>
        <w:tc>
          <w:tcPr>
            <w:tcW w:w="1920"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全年执行数（万元）</w:t>
            </w:r>
          </w:p>
        </w:tc>
        <w:tc>
          <w:tcPr>
            <w:tcW w:w="795"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79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c>
          <w:tcPr>
            <w:tcW w:w="33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76"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年度资金总额：</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46.13</w:t>
            </w:r>
          </w:p>
        </w:tc>
        <w:tc>
          <w:tcPr>
            <w:tcW w:w="1785"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226.80</w:t>
            </w:r>
          </w:p>
        </w:tc>
        <w:tc>
          <w:tcPr>
            <w:tcW w:w="1920" w:type="dxa"/>
            <w:gridSpan w:val="3"/>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226.80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34"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按收入性质分：</w:t>
            </w:r>
          </w:p>
        </w:tc>
        <w:tc>
          <w:tcPr>
            <w:tcW w:w="19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744"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一般公共预算：</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202.80</w:t>
            </w:r>
          </w:p>
        </w:tc>
        <w:tc>
          <w:tcPr>
            <w:tcW w:w="795" w:type="dxa"/>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其中:基本支出：</w:t>
            </w:r>
          </w:p>
        </w:tc>
        <w:tc>
          <w:tcPr>
            <w:tcW w:w="1125" w:type="dxa"/>
            <w:gridSpan w:val="3"/>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28"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政府性基金拨款：</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9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25" w:type="dxa"/>
            <w:gridSpan w:val="3"/>
            <w:vMerge w:val="continue"/>
            <w:tcBorders>
              <w:top w:val="single" w:color="000000" w:sz="4" w:space="0"/>
              <w:left w:val="nil"/>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52"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纳入专户管理的非税收入拨款：</w:t>
            </w:r>
          </w:p>
        </w:tc>
        <w:tc>
          <w:tcPr>
            <w:tcW w:w="5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w:t>
            </w:r>
          </w:p>
        </w:tc>
        <w:tc>
          <w:tcPr>
            <w:tcW w:w="795" w:type="dxa"/>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1125" w:type="dxa"/>
            <w:gridSpan w:val="3"/>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468"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57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其他资金</w:t>
            </w:r>
          </w:p>
        </w:tc>
        <w:tc>
          <w:tcPr>
            <w:tcW w:w="5505"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9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25" w:type="dxa"/>
            <w:gridSpan w:val="3"/>
            <w:vMerge w:val="continue"/>
            <w:tcBorders>
              <w:top w:val="single" w:color="000000" w:sz="4" w:space="0"/>
              <w:left w:val="nil"/>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72" w:hRule="atLeast"/>
        </w:trPr>
        <w:tc>
          <w:tcPr>
            <w:tcW w:w="7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年度总体目标</w:t>
            </w: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预期目标</w:t>
            </w:r>
          </w:p>
        </w:tc>
        <w:tc>
          <w:tcPr>
            <w:tcW w:w="1920"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720" w:hRule="atLeast"/>
        </w:trPr>
        <w:tc>
          <w:tcPr>
            <w:tcW w:w="7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70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tc>
        <w:tc>
          <w:tcPr>
            <w:tcW w:w="1920"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309" w:hRule="atLeast"/>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绩效指标</w:t>
            </w:r>
          </w:p>
        </w:tc>
        <w:tc>
          <w:tcPr>
            <w:tcW w:w="555"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一级指标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27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三级指标</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年度指标值</w:t>
            </w:r>
          </w:p>
        </w:tc>
        <w:tc>
          <w:tcPr>
            <w:tcW w:w="11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分值</w:t>
            </w:r>
          </w:p>
        </w:tc>
        <w:tc>
          <w:tcPr>
            <w:tcW w:w="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color w:val="000000"/>
                <w:kern w:val="0"/>
                <w:sz w:val="20"/>
                <w:szCs w:val="20"/>
                <w:u w:val="none"/>
                <w:lang w:val="en-US" w:eastAsia="zh-CN" w:bidi="ar"/>
              </w:rPr>
              <w:t>得分</w:t>
            </w:r>
          </w:p>
        </w:tc>
        <w:tc>
          <w:tcPr>
            <w:tcW w:w="1680" w:type="dxa"/>
            <w:gridSpan w:val="5"/>
            <w:vMerge w:val="restart"/>
            <w:tcBorders>
              <w:top w:val="single" w:color="000000" w:sz="4"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549"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27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11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bCs/>
                <w:i w:val="0"/>
                <w:iCs w:val="0"/>
                <w:color w:val="000000"/>
                <w:sz w:val="20"/>
                <w:szCs w:val="20"/>
                <w:u w:val="none"/>
              </w:rPr>
            </w:pPr>
          </w:p>
        </w:tc>
        <w:tc>
          <w:tcPr>
            <w:tcW w:w="1680" w:type="dxa"/>
            <w:gridSpan w:val="5"/>
            <w:vMerge w:val="continue"/>
            <w:tcBorders>
              <w:top w:val="single" w:color="000000" w:sz="4" w:space="0"/>
              <w:left w:val="nil"/>
              <w:bottom w:val="single" w:color="auto"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绩效指标</w:t>
            </w: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产出指标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教师培训次数</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教师考核人数</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贫困生资助数</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20人</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教师节慰问金发放人数</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学生人数</w:t>
            </w:r>
          </w:p>
        </w:tc>
        <w:tc>
          <w:tcPr>
            <w:tcW w:w="1174" w:type="dxa"/>
            <w:tcBorders>
              <w:top w:val="nil"/>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1125" w:type="dxa"/>
            <w:gridSpan w:val="2"/>
            <w:tcBorders>
              <w:top w:val="nil"/>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195人</w:t>
            </w:r>
          </w:p>
        </w:tc>
        <w:tc>
          <w:tcPr>
            <w:tcW w:w="63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86" w:type="dxa"/>
            <w:gridSpan w:val="3"/>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幼儿在园率</w:t>
            </w:r>
          </w:p>
        </w:tc>
        <w:tc>
          <w:tcPr>
            <w:tcW w:w="1174" w:type="dxa"/>
            <w:tcBorders>
              <w:top w:val="single" w:color="auto"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single" w:color="auto"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single" w:color="auto"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教师合格率</w:t>
            </w:r>
          </w:p>
        </w:tc>
        <w:tc>
          <w:tcPr>
            <w:tcW w:w="1174" w:type="dxa"/>
            <w:tcBorders>
              <w:top w:val="single" w:color="auto"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single" w:color="auto"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校园建设完成率</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教师节慰问金发放完成率</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贫困生支助完成率</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完成时间</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效益指标</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提高教师生活水平</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提高教师生活水平</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提高教师教学水平，提升幼儿素质，提高幼儿园办园质量</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提高教师教学水平，提升幼儿素质，提高幼儿园办园质量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改善办园环境</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改善办园环境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可持续发展</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可持续发展</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满意度指标</w:t>
            </w: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满意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成本指标</w:t>
            </w:r>
          </w:p>
        </w:tc>
        <w:tc>
          <w:tcPr>
            <w:tcW w:w="585"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项目支出</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92.8万元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auto"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86" w:type="dxa"/>
            <w:gridSpan w:val="3"/>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基本支出</w:t>
            </w:r>
          </w:p>
        </w:tc>
        <w:tc>
          <w:tcPr>
            <w:tcW w:w="1174"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112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134万元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社会成本指标</w:t>
            </w:r>
          </w:p>
        </w:tc>
        <w:tc>
          <w:tcPr>
            <w:tcW w:w="2786" w:type="dxa"/>
            <w:gridSpan w:val="3"/>
            <w:tcBorders>
              <w:top w:val="nil"/>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174" w:type="dxa"/>
            <w:tcBorders>
              <w:top w:val="nil"/>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125" w:type="dxa"/>
            <w:gridSpan w:val="2"/>
            <w:tcBorders>
              <w:top w:val="nil"/>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1680" w:type="dxa"/>
            <w:gridSpan w:val="5"/>
            <w:tcBorders>
              <w:top w:val="single" w:color="000000" w:sz="4" w:space="0"/>
              <w:left w:val="single" w:color="auto"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25368" w:type="dxa"/>
          <w:trHeight w:val="648" w:hRule="atLeast"/>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55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0"/>
                <w:szCs w:val="20"/>
                <w:u w:val="none"/>
              </w:rPr>
            </w:pPr>
          </w:p>
        </w:tc>
        <w:tc>
          <w:tcPr>
            <w:tcW w:w="58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生态环境成本指标</w:t>
            </w:r>
          </w:p>
        </w:tc>
        <w:tc>
          <w:tcPr>
            <w:tcW w:w="2786" w:type="dxa"/>
            <w:gridSpan w:val="3"/>
            <w:tcBorders>
              <w:top w:val="nil"/>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174" w:type="dxa"/>
            <w:tcBorders>
              <w:top w:val="nil"/>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125" w:type="dxa"/>
            <w:gridSpan w:val="2"/>
            <w:tcBorders>
              <w:top w:val="nil"/>
              <w:left w:val="single" w:color="000000" w:sz="4" w:space="0"/>
              <w:bottom w:val="single" w:color="000000" w:sz="4" w:space="0"/>
              <w:right w:val="nil"/>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64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仿宋_GB2312" w:hAnsi="宋体" w:eastAsia="仿宋_GB2312" w:cs="仿宋_GB2312"/>
                <w:i w:val="0"/>
                <w:iCs w:val="0"/>
                <w:color w:val="000000"/>
                <w:sz w:val="20"/>
                <w:szCs w:val="20"/>
                <w:u w:val="none"/>
              </w:rPr>
            </w:pPr>
          </w:p>
        </w:tc>
        <w:tc>
          <w:tcPr>
            <w:tcW w:w="1680" w:type="dxa"/>
            <w:gridSpan w:val="5"/>
            <w:tcBorders>
              <w:top w:val="single" w:color="000000"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5"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731" w:type="dxa"/>
            <w:gridSpan w:val="10"/>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43"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4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2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4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4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7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5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5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9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bl>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江永工业集中区幼儿园</w:t>
      </w: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8</w:t>
            </w:r>
            <w:r>
              <w:rPr>
                <w:kern w:val="0"/>
                <w:sz w:val="24"/>
              </w:rPr>
              <w:t>　</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lang w:val="en-US" w:eastAsia="zh-CN"/>
              </w:rPr>
              <w:t>10</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设备采购</w:t>
      </w:r>
      <w:r>
        <w:rPr>
          <w:rFonts w:hint="eastAsia" w:ascii="方正小标宋_GBK" w:hAnsi="方正小标宋_GBK" w:eastAsia="方正小标宋_GBK" w:cs="方正小标宋_GBK"/>
          <w:sz w:val="44"/>
          <w:szCs w:val="44"/>
        </w:rPr>
        <w:t>专项2023年度绩效自评报告</w:t>
      </w:r>
    </w:p>
    <w:p>
      <w:pPr>
        <w:spacing w:line="560" w:lineRule="exact"/>
        <w:jc w:val="center"/>
        <w:rPr>
          <w:rFonts w:hint="eastAsia" w:ascii="方正小标宋_GBK" w:hAnsi="方正小标宋_GBK" w:eastAsia="方正小标宋_GBK" w:cs="方正小标宋_GBK"/>
          <w:sz w:val="44"/>
          <w:szCs w:val="44"/>
        </w:rPr>
      </w:pPr>
    </w:p>
    <w:p>
      <w:pPr>
        <w:spacing w:line="560" w:lineRule="exact"/>
        <w:ind w:firstLine="640" w:firstLineChars="200"/>
        <w:jc w:val="both"/>
        <w:rPr>
          <w:rFonts w:hint="eastAsia" w:ascii="黑体" w:hAnsi="黑体" w:eastAsia="黑体" w:cs="黑体"/>
          <w:bCs/>
          <w:sz w:val="32"/>
          <w:szCs w:val="32"/>
        </w:rPr>
      </w:pPr>
      <w:r>
        <w:rPr>
          <w:rFonts w:hint="eastAsia" w:ascii="黑体" w:hAnsi="黑体" w:eastAsia="黑体" w:cs="黑体"/>
          <w:bCs/>
          <w:sz w:val="32"/>
          <w:szCs w:val="32"/>
        </w:rPr>
        <w:t>一、项目概况</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pPr>
        <w:ind w:firstLine="640" w:firstLineChars="200"/>
        <w:rPr>
          <w:rFonts w:hint="eastAsia" w:ascii="宋体" w:hAnsi="宋体" w:eastAsia="宋体" w:cs="宋体"/>
          <w:sz w:val="32"/>
          <w:szCs w:val="32"/>
        </w:rPr>
      </w:pPr>
      <w:r>
        <w:rPr>
          <w:rFonts w:hint="eastAsia" w:ascii="宋体" w:hAnsi="宋体" w:cs="宋体"/>
          <w:sz w:val="32"/>
          <w:szCs w:val="32"/>
          <w:lang w:val="en-US" w:eastAsia="zh-CN"/>
        </w:rPr>
        <w:t>江永工业集中区</w:t>
      </w:r>
      <w:r>
        <w:rPr>
          <w:rFonts w:hint="eastAsia" w:ascii="宋体" w:hAnsi="宋体" w:cs="宋体"/>
          <w:sz w:val="32"/>
          <w:szCs w:val="32"/>
          <w:lang w:eastAsia="zh-CN"/>
        </w:rPr>
        <w:t>幼儿园</w:t>
      </w:r>
      <w:r>
        <w:rPr>
          <w:rFonts w:hint="eastAsia" w:ascii="宋体" w:hAnsi="宋体" w:eastAsia="宋体" w:cs="宋体"/>
          <w:sz w:val="32"/>
          <w:szCs w:val="32"/>
        </w:rPr>
        <w:t>是江永县教育局下属的二级机构，</w:t>
      </w:r>
      <w:r>
        <w:rPr>
          <w:rFonts w:hint="eastAsia" w:ascii="宋体" w:hAnsi="宋体" w:cs="宋体"/>
          <w:sz w:val="32"/>
          <w:szCs w:val="32"/>
          <w:lang w:eastAsia="zh-CN"/>
        </w:rPr>
        <w:t>幼儿园</w:t>
      </w:r>
      <w:r>
        <w:rPr>
          <w:rFonts w:hint="eastAsia" w:ascii="宋体" w:hAnsi="宋体" w:eastAsia="宋体" w:cs="宋体"/>
          <w:sz w:val="32"/>
          <w:szCs w:val="32"/>
        </w:rPr>
        <w:t>为财政全额拨款事业单位，是一所农村</w:t>
      </w:r>
      <w:r>
        <w:rPr>
          <w:rFonts w:hint="eastAsia" w:ascii="宋体" w:hAnsi="宋体" w:cs="宋体"/>
          <w:sz w:val="32"/>
          <w:szCs w:val="32"/>
          <w:lang w:eastAsia="zh-CN"/>
        </w:rPr>
        <w:t>公办幼儿园</w:t>
      </w:r>
      <w:r>
        <w:rPr>
          <w:rFonts w:hint="eastAsia" w:ascii="宋体" w:hAnsi="宋体" w:eastAsia="宋体" w:cs="宋体"/>
          <w:sz w:val="32"/>
          <w:szCs w:val="32"/>
        </w:rPr>
        <w:t>，现有在</w:t>
      </w:r>
      <w:r>
        <w:rPr>
          <w:rFonts w:hint="eastAsia" w:ascii="宋体" w:hAnsi="宋体" w:cs="宋体"/>
          <w:sz w:val="32"/>
          <w:szCs w:val="32"/>
          <w:lang w:eastAsia="zh-CN"/>
        </w:rPr>
        <w:t>园幼儿</w:t>
      </w:r>
      <w:r>
        <w:rPr>
          <w:rFonts w:hint="eastAsia" w:ascii="宋体" w:hAnsi="宋体" w:cs="宋体"/>
          <w:sz w:val="32"/>
          <w:szCs w:val="32"/>
          <w:lang w:val="en-US" w:eastAsia="zh-CN"/>
        </w:rPr>
        <w:t>195</w:t>
      </w:r>
      <w:r>
        <w:rPr>
          <w:rFonts w:hint="eastAsia" w:ascii="宋体" w:hAnsi="宋体" w:eastAsia="宋体" w:cs="宋体"/>
          <w:sz w:val="32"/>
          <w:szCs w:val="32"/>
        </w:rPr>
        <w:t>人，核定编制数</w:t>
      </w:r>
      <w:r>
        <w:rPr>
          <w:rFonts w:hint="eastAsia" w:ascii="宋体" w:hAnsi="宋体" w:cs="宋体"/>
          <w:sz w:val="32"/>
          <w:szCs w:val="32"/>
          <w:lang w:val="en-US" w:eastAsia="zh-CN"/>
        </w:rPr>
        <w:t>9</w:t>
      </w:r>
      <w:r>
        <w:rPr>
          <w:rFonts w:hint="eastAsia" w:ascii="宋体" w:hAnsi="宋体" w:eastAsia="宋体" w:cs="宋体"/>
          <w:sz w:val="32"/>
          <w:szCs w:val="32"/>
        </w:rPr>
        <w:t>人，实有在编人数</w:t>
      </w:r>
      <w:r>
        <w:rPr>
          <w:rFonts w:hint="eastAsia" w:ascii="宋体" w:hAnsi="宋体" w:cs="宋体"/>
          <w:sz w:val="32"/>
          <w:szCs w:val="32"/>
          <w:lang w:val="en-US" w:eastAsia="zh-CN"/>
        </w:rPr>
        <w:t>9</w:t>
      </w:r>
      <w:r>
        <w:rPr>
          <w:rFonts w:hint="eastAsia" w:ascii="宋体" w:hAnsi="宋体" w:eastAsia="宋体" w:cs="宋体"/>
          <w:sz w:val="32"/>
          <w:szCs w:val="32"/>
        </w:rPr>
        <w:t>人。</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（二）项目基本情况</w:t>
      </w:r>
    </w:p>
    <w:p>
      <w:pPr>
        <w:ind w:firstLine="640" w:firstLineChars="200"/>
        <w:rPr>
          <w:rFonts w:hint="eastAsia" w:ascii="宋体" w:hAnsi="宋体" w:cs="宋体"/>
          <w:sz w:val="32"/>
          <w:szCs w:val="32"/>
          <w:lang w:eastAsia="zh-CN"/>
        </w:rPr>
      </w:pPr>
      <w:r>
        <w:rPr>
          <w:rFonts w:hint="eastAsia" w:ascii="宋体" w:hAnsi="宋体" w:cs="宋体"/>
          <w:sz w:val="32"/>
          <w:szCs w:val="32"/>
          <w:lang w:eastAsia="zh-CN"/>
        </w:rPr>
        <w:t>根据向县教育局、县财政局、县政府打书面报告申请拨下设备采购资金，用于幼儿园的大型设备采购，改善办园条件。</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2023年度,</w:t>
      </w:r>
      <w:r>
        <w:rPr>
          <w:rFonts w:hint="eastAsia" w:ascii="仿宋_GB2312" w:hAnsi="仿宋_GB2312" w:eastAsia="仿宋_GB2312" w:cs="仿宋_GB2312"/>
          <w:sz w:val="32"/>
          <w:szCs w:val="32"/>
          <w:lang w:eastAsia="zh-CN"/>
        </w:rPr>
        <w:t>我园</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eastAsia="zh-CN"/>
        </w:rPr>
        <w:t>设备采购</w:t>
      </w:r>
      <w:r>
        <w:rPr>
          <w:rFonts w:hint="eastAsia" w:ascii="仿宋_GB2312" w:hAnsi="仿宋_GB2312" w:eastAsia="仿宋_GB2312" w:cs="仿宋_GB2312"/>
          <w:sz w:val="32"/>
          <w:szCs w:val="32"/>
          <w:lang w:val="en-US" w:eastAsia="zh-CN"/>
        </w:rPr>
        <w:t>92.819万元，用于大型设备采购。</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三、项目组织实施情况</w:t>
      </w:r>
    </w:p>
    <w:p>
      <w:pPr>
        <w:spacing w:line="560" w:lineRule="exact"/>
        <w:ind w:firstLine="640" w:firstLineChars="200"/>
        <w:rPr>
          <w:rFonts w:hint="default" w:ascii="黑体" w:hAnsi="黑体" w:eastAsia="黑体" w:cs="黑体"/>
          <w:bCs/>
          <w:sz w:val="32"/>
          <w:szCs w:val="32"/>
          <w:lang w:val="en-US" w:eastAsia="zh-CN"/>
        </w:rPr>
      </w:pP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lang w:val="en-US" w:eastAsia="zh-CN"/>
        </w:rPr>
        <w:t>幼儿园一体机音响，摄像头</w:t>
      </w:r>
      <w:r>
        <w:rPr>
          <w:rFonts w:hint="eastAsia" w:ascii="仿宋_GB2312" w:hAnsi="仿宋_GB2312" w:eastAsia="仿宋_GB2312" w:cs="仿宋_GB2312"/>
          <w:sz w:val="32"/>
          <w:szCs w:val="32"/>
          <w:lang w:eastAsia="zh-CN"/>
        </w:rPr>
        <w:t>费</w:t>
      </w:r>
      <w:r>
        <w:rPr>
          <w:rFonts w:hint="eastAsia" w:ascii="仿宋_GB2312" w:hAnsi="仿宋_GB2312" w:eastAsia="仿宋_GB2312" w:cs="仿宋_GB2312"/>
          <w:sz w:val="32"/>
          <w:szCs w:val="32"/>
          <w:lang w:val="en-US" w:eastAsia="zh-CN"/>
        </w:rPr>
        <w:t>10.15万元、设施设备采购费61.2835万元、窗帘采购费4.1115万元、电风扇，空调采购费4.7760万元、区域柜采购费12.308万元、教师上下双人床0.19万元。幼儿园全园教师对采购的设备进行检查验收</w:t>
      </w:r>
      <w:r>
        <w:rPr>
          <w:rFonts w:hint="eastAsia" w:ascii="仿宋_GB2312" w:hAnsi="仿宋_GB2312" w:eastAsia="仿宋_GB2312" w:cs="仿宋_GB2312"/>
          <w:sz w:val="32"/>
          <w:szCs w:val="32"/>
        </w:rPr>
        <w:t>，严格把关，保证质量。</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2023年县财政安排的</w:t>
      </w:r>
      <w:r>
        <w:rPr>
          <w:rFonts w:hint="eastAsia" w:ascii="仿宋_GB2312" w:hAnsi="仿宋_GB2312" w:eastAsia="仿宋_GB2312" w:cs="仿宋_GB2312"/>
          <w:bCs/>
          <w:sz w:val="32"/>
          <w:szCs w:val="32"/>
          <w:lang w:eastAsia="zh-CN"/>
        </w:rPr>
        <w:t>设备采购</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万元，本着“少花钱、多办事、办好事”的原则，项目总支出</w:t>
      </w:r>
      <w:r>
        <w:rPr>
          <w:rFonts w:hint="eastAsia" w:ascii="仿宋_GB2312" w:hAnsi="仿宋_GB2312" w:eastAsia="仿宋_GB2312" w:cs="仿宋_GB2312"/>
          <w:bCs/>
          <w:sz w:val="32"/>
          <w:szCs w:val="32"/>
          <w:lang w:val="en-US" w:eastAsia="zh-CN"/>
        </w:rPr>
        <w:t>92.819</w:t>
      </w:r>
      <w:r>
        <w:rPr>
          <w:rFonts w:hint="eastAsia" w:ascii="仿宋_GB2312" w:hAnsi="仿宋_GB2312" w:eastAsia="仿宋_GB2312" w:cs="仿宋_GB2312"/>
          <w:bCs/>
          <w:sz w:val="32"/>
          <w:szCs w:val="32"/>
        </w:rPr>
        <w:t>万元，资金收支平衡。</w:t>
      </w:r>
    </w:p>
    <w:p>
      <w:pPr>
        <w:spacing w:line="560" w:lineRule="exact"/>
        <w:ind w:firstLine="640"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Cs/>
          <w:sz w:val="32"/>
          <w:szCs w:val="32"/>
        </w:rPr>
        <w:t>2.项目的效率性分析。根据</w:t>
      </w:r>
      <w:r>
        <w:rPr>
          <w:rFonts w:hint="eastAsia" w:ascii="仿宋_GB2312" w:hAnsi="仿宋_GB2312" w:eastAsia="仿宋_GB2312" w:cs="仿宋_GB2312"/>
          <w:bCs/>
          <w:sz w:val="32"/>
          <w:szCs w:val="32"/>
          <w:lang w:eastAsia="zh-CN"/>
        </w:rPr>
        <w:t>我园采购</w:t>
      </w:r>
      <w:r>
        <w:rPr>
          <w:rFonts w:hint="eastAsia" w:ascii="仿宋_GB2312" w:hAnsi="仿宋_GB2312" w:eastAsia="仿宋_GB2312" w:cs="仿宋_GB2312"/>
          <w:bCs/>
          <w:sz w:val="32"/>
          <w:szCs w:val="32"/>
        </w:rPr>
        <w:t>目标，及时组织项目的实施，及时支付给</w:t>
      </w:r>
      <w:r>
        <w:rPr>
          <w:rFonts w:hint="eastAsia" w:ascii="仿宋_GB2312" w:hAnsi="仿宋_GB2312" w:eastAsia="仿宋_GB2312" w:cs="仿宋_GB2312"/>
          <w:bCs/>
          <w:sz w:val="32"/>
          <w:szCs w:val="32"/>
          <w:lang w:eastAsia="zh-CN"/>
        </w:rPr>
        <w:t>招标公司</w:t>
      </w:r>
      <w:r>
        <w:rPr>
          <w:rFonts w:hint="eastAsia" w:ascii="仿宋_GB2312" w:hAnsi="仿宋_GB2312" w:eastAsia="仿宋_GB2312" w:cs="仿宋_GB2312"/>
          <w:bCs/>
          <w:sz w:val="32"/>
          <w:szCs w:val="32"/>
        </w:rPr>
        <w:t>。项目的实施完成率100%。</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3.项目的效益性分析。我</w:t>
      </w:r>
      <w:r>
        <w:rPr>
          <w:rFonts w:hint="eastAsia" w:ascii="仿宋_GB2312" w:hAnsi="仿宋_GB2312" w:eastAsia="仿宋_GB2312" w:cs="仿宋_GB2312"/>
          <w:bCs/>
          <w:sz w:val="32"/>
          <w:szCs w:val="32"/>
          <w:lang w:eastAsia="zh-CN"/>
        </w:rPr>
        <w:t>园</w:t>
      </w:r>
      <w:r>
        <w:rPr>
          <w:rFonts w:hint="eastAsia" w:ascii="仿宋_GB2312" w:hAnsi="仿宋_GB2312" w:eastAsia="仿宋_GB2312" w:cs="仿宋_GB2312"/>
          <w:bCs/>
          <w:sz w:val="32"/>
          <w:szCs w:val="32"/>
        </w:rPr>
        <w:t>及时组织了</w:t>
      </w:r>
      <w:r>
        <w:rPr>
          <w:rFonts w:hint="eastAsia" w:ascii="仿宋_GB2312" w:hAnsi="仿宋_GB2312" w:eastAsia="仿宋_GB2312" w:cs="仿宋_GB2312"/>
          <w:bCs/>
          <w:sz w:val="32"/>
          <w:szCs w:val="32"/>
          <w:lang w:eastAsia="zh-CN"/>
        </w:rPr>
        <w:t>设备采购</w:t>
      </w:r>
      <w:r>
        <w:rPr>
          <w:rFonts w:hint="eastAsia" w:ascii="仿宋_GB2312" w:hAnsi="仿宋_GB2312" w:eastAsia="仿宋_GB2312" w:cs="仿宋_GB2312"/>
          <w:bCs/>
          <w:sz w:val="32"/>
          <w:szCs w:val="32"/>
        </w:rPr>
        <w:t>工作，年度项目完工率100%，资金预算完成率100%。</w:t>
      </w:r>
      <w:r>
        <w:rPr>
          <w:rFonts w:hint="eastAsia" w:ascii="仿宋_GB2312" w:hAnsi="仿宋_GB2312" w:eastAsia="仿宋_GB2312" w:cs="仿宋_GB2312"/>
          <w:sz w:val="32"/>
          <w:szCs w:val="32"/>
        </w:rPr>
        <w:t>有力地</w:t>
      </w:r>
      <w:r>
        <w:rPr>
          <w:rFonts w:hint="eastAsia" w:ascii="仿宋_GB2312" w:hAnsi="仿宋_GB2312" w:eastAsia="仿宋_GB2312" w:cs="仿宋_GB2312"/>
          <w:sz w:val="32"/>
          <w:szCs w:val="32"/>
          <w:lang w:eastAsia="zh-CN"/>
        </w:rPr>
        <w:t>改善了办园条件</w:t>
      </w:r>
      <w:r>
        <w:rPr>
          <w:rFonts w:hint="eastAsia" w:ascii="仿宋_GB2312" w:hAnsi="仿宋_GB2312" w:eastAsia="仿宋_GB2312" w:cs="仿宋_GB2312"/>
          <w:sz w:val="32"/>
          <w:szCs w:val="32"/>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定期检查设备的质量及安全。</w:t>
      </w:r>
    </w:p>
    <w:p>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高位推动，强化组织领导，强化宣传，营造浓厚氛围，</w:t>
      </w:r>
      <w:r>
        <w:rPr>
          <w:rFonts w:hint="eastAsia" w:ascii="仿宋_GB2312" w:hAnsi="仿宋_GB2312" w:eastAsia="仿宋_GB2312" w:cs="仿宋_GB2312"/>
          <w:sz w:val="32"/>
          <w:szCs w:val="32"/>
        </w:rPr>
        <w:t>严格管护，确保建设成效</w:t>
      </w:r>
      <w:r>
        <w:rPr>
          <w:rFonts w:hint="eastAsia" w:ascii="仿宋_GB2312" w:hAnsi="仿宋_GB2312" w:eastAsia="仿宋_GB2312" w:cs="仿宋_GB2312"/>
          <w:bCs/>
          <w:sz w:val="32"/>
          <w:szCs w:val="32"/>
        </w:rPr>
        <w:t>。</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无</w:t>
      </w:r>
      <w:r>
        <w:rPr>
          <w:rFonts w:hint="eastAsia" w:ascii="仿宋_GB2312" w:hAnsi="仿宋_GB2312" w:eastAsia="仿宋_GB2312" w:cs="仿宋_GB2312"/>
          <w:color w:val="000000"/>
          <w:sz w:val="32"/>
          <w:szCs w:val="32"/>
        </w:rPr>
        <w:t>。</w:t>
      </w:r>
    </w:p>
    <w:p>
      <w:pPr>
        <w:spacing w:line="560" w:lineRule="exact"/>
        <w:ind w:firstLine="640" w:firstLineChars="200"/>
        <w:rPr>
          <w:rFonts w:hint="eastAsia" w:ascii="楷体_GB2312" w:hAnsi="楷体_GB2312" w:eastAsia="楷体_GB2312" w:cs="楷体_GB2312"/>
          <w:bCs/>
          <w:sz w:val="32"/>
          <w:szCs w:val="32"/>
        </w:rPr>
      </w:pPr>
    </w:p>
    <w:p>
      <w:pPr>
        <w:keepNext w:val="0"/>
        <w:keepLines w:val="0"/>
        <w:pageBreakBefore w:val="0"/>
        <w:widowControl w:val="0"/>
        <w:kinsoku/>
        <w:wordWrap/>
        <w:overflowPunct/>
        <w:topLinePunct w:val="0"/>
        <w:autoSpaceDE/>
        <w:autoSpaceDN/>
        <w:bidi w:val="0"/>
        <w:adjustRightInd/>
        <w:snapToGrid/>
        <w:jc w:val="right"/>
        <w:textAlignment w:val="auto"/>
        <w:rPr>
          <w:rFonts w:hint="eastAsia" w:ascii="宋体" w:hAnsi="宋体" w:cs="宋体"/>
          <w:sz w:val="32"/>
          <w:szCs w:val="32"/>
          <w:lang w:eastAsia="zh-CN"/>
        </w:rPr>
      </w:pPr>
      <w:r>
        <w:rPr>
          <w:rFonts w:hint="eastAsia" w:ascii="宋体" w:hAnsi="宋体" w:eastAsia="宋体" w:cs="宋体"/>
          <w:sz w:val="32"/>
          <w:szCs w:val="32"/>
        </w:rPr>
        <w:t>江永</w:t>
      </w:r>
      <w:r>
        <w:rPr>
          <w:rFonts w:hint="eastAsia" w:ascii="宋体" w:hAnsi="宋体" w:cs="宋体"/>
          <w:sz w:val="32"/>
          <w:szCs w:val="32"/>
          <w:lang w:val="en-US" w:eastAsia="zh-CN"/>
        </w:rPr>
        <w:t>工业集中区</w:t>
      </w:r>
      <w:r>
        <w:rPr>
          <w:rFonts w:hint="eastAsia" w:ascii="宋体" w:hAnsi="宋体" w:cs="宋体"/>
          <w:sz w:val="32"/>
          <w:szCs w:val="32"/>
          <w:lang w:eastAsia="zh-CN"/>
        </w:rPr>
        <w:t>幼儿园</w:t>
      </w: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eastAsia="宋体" w:cs="宋体"/>
          <w:sz w:val="32"/>
          <w:szCs w:val="32"/>
        </w:rPr>
      </w:pPr>
      <w:r>
        <w:rPr>
          <w:rFonts w:hint="eastAsia" w:ascii="宋体" w:hAnsi="宋体" w:eastAsia="宋体" w:cs="宋体"/>
          <w:sz w:val="32"/>
          <w:szCs w:val="32"/>
        </w:rPr>
        <w:t>2024 年</w:t>
      </w:r>
      <w:r>
        <w:rPr>
          <w:rFonts w:hint="eastAsia" w:ascii="宋体" w:hAnsi="宋体" w:cs="宋体"/>
          <w:sz w:val="32"/>
          <w:szCs w:val="32"/>
          <w:lang w:val="en-US" w:eastAsia="zh-CN"/>
        </w:rPr>
        <w:t>4</w:t>
      </w:r>
      <w:r>
        <w:rPr>
          <w:rFonts w:hint="eastAsia" w:ascii="宋体" w:hAnsi="宋体" w:eastAsia="宋体" w:cs="宋体"/>
          <w:sz w:val="32"/>
          <w:szCs w:val="32"/>
        </w:rPr>
        <w:t xml:space="preserve"> 月</w:t>
      </w:r>
      <w:r>
        <w:rPr>
          <w:rFonts w:hint="eastAsia" w:ascii="宋体" w:hAnsi="宋体" w:cs="宋体"/>
          <w:sz w:val="32"/>
          <w:szCs w:val="32"/>
          <w:lang w:val="en-US" w:eastAsia="zh-CN"/>
        </w:rPr>
        <w:t>22</w:t>
      </w:r>
      <w:r>
        <w:rPr>
          <w:rFonts w:hint="eastAsia" w:ascii="宋体" w:hAnsi="宋体" w:eastAsia="宋体" w:cs="宋体"/>
          <w:sz w:val="32"/>
          <w:szCs w:val="32"/>
        </w:rPr>
        <w:t>日</w:t>
      </w:r>
    </w:p>
    <w:p>
      <w:pPr>
        <w:keepNext w:val="0"/>
        <w:keepLines w:val="0"/>
        <w:pageBreakBefore w:val="0"/>
        <w:widowControl w:val="0"/>
        <w:kinsoku/>
        <w:wordWrap/>
        <w:overflowPunct/>
        <w:topLinePunct w:val="0"/>
        <w:autoSpaceDE/>
        <w:autoSpaceDN/>
        <w:bidi w:val="0"/>
        <w:adjustRightInd/>
        <w:snapToGrid/>
        <w:ind w:firstLine="960" w:firstLineChars="200"/>
        <w:jc w:val="center"/>
        <w:textAlignment w:val="auto"/>
        <w:rPr>
          <w:rFonts w:hint="eastAsia" w:ascii="宋体" w:hAnsi="宋体" w:cs="宋体"/>
          <w:sz w:val="48"/>
          <w:szCs w:val="48"/>
          <w:lang w:val="en-US" w:eastAsia="zh-CN"/>
        </w:rPr>
      </w:pPr>
      <w:r>
        <w:rPr>
          <w:rFonts w:hint="eastAsia" w:ascii="宋体" w:hAnsi="宋体" w:cs="宋体"/>
          <w:sz w:val="48"/>
          <w:szCs w:val="48"/>
          <w:lang w:val="en-US" w:eastAsia="zh-CN"/>
        </w:rPr>
        <w:t>项目资金自评表</w:t>
      </w:r>
    </w:p>
    <w:p>
      <w:pPr>
        <w:keepNext w:val="0"/>
        <w:keepLines w:val="0"/>
        <w:pageBreakBefore w:val="0"/>
        <w:widowControl w:val="0"/>
        <w:kinsoku/>
        <w:wordWrap/>
        <w:overflowPunct/>
        <w:topLinePunct w:val="0"/>
        <w:autoSpaceDE/>
        <w:autoSpaceDN/>
        <w:bidi w:val="0"/>
        <w:adjustRightInd/>
        <w:snapToGrid/>
        <w:ind w:firstLine="960" w:firstLineChars="200"/>
        <w:jc w:val="center"/>
        <w:textAlignment w:val="auto"/>
        <w:rPr>
          <w:rFonts w:hint="default" w:ascii="宋体" w:hAnsi="宋体" w:cs="宋体"/>
          <w:sz w:val="48"/>
          <w:szCs w:val="48"/>
          <w:lang w:val="en-US" w:eastAsia="zh-CN"/>
        </w:rPr>
      </w:pPr>
    </w:p>
    <w:tbl>
      <w:tblPr>
        <w:tblStyle w:val="5"/>
        <w:tblW w:w="94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1020"/>
        <w:gridCol w:w="780"/>
        <w:gridCol w:w="360"/>
        <w:gridCol w:w="448"/>
        <w:gridCol w:w="1050"/>
        <w:gridCol w:w="617"/>
        <w:gridCol w:w="990"/>
        <w:gridCol w:w="525"/>
        <w:gridCol w:w="735"/>
        <w:gridCol w:w="510"/>
        <w:gridCol w:w="210"/>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8580" w:type="dxa"/>
            <w:gridSpan w:val="1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江永工业集中区幼儿园设施设备及校舍维修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8580" w:type="dxa"/>
            <w:gridSpan w:val="1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8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3658" w:type="dxa"/>
            <w:gridSpan w:val="5"/>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61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4305"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江永县工业集中区幼儿园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180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808" w:type="dxa"/>
            <w:gridSpan w:val="2"/>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050"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617" w:type="dxa"/>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770"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545"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808" w:type="dxa"/>
            <w:gridSpan w:val="2"/>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617"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770"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4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808" w:type="dxa"/>
            <w:gridSpan w:val="2"/>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617"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770"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4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808"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617"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808"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17"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808"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17"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80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808"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5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617"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3658" w:type="dxa"/>
            <w:gridSpan w:val="5"/>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4922" w:type="dxa"/>
            <w:gridSpan w:val="7"/>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1.合理制定后勤及安全管理工作发展规划和计划，保障学校正常教学秩序、消防安全等。2.加强校园基础设施建设，保障学生与教师的校园生活。3.做好设施维修工作，确保环境安全。</w:t>
            </w:r>
          </w:p>
        </w:tc>
        <w:tc>
          <w:tcPr>
            <w:tcW w:w="4922" w:type="dxa"/>
            <w:gridSpan w:val="7"/>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22" w:type="dxa"/>
            <w:gridSpan w:val="7"/>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3658" w:type="dxa"/>
            <w:gridSpan w:val="5"/>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922" w:type="dxa"/>
            <w:gridSpan w:val="7"/>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87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115" w:type="dxa"/>
            <w:gridSpan w:val="3"/>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990" w:type="dxa"/>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525"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7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2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115" w:type="dxa"/>
            <w:gridSpan w:val="3"/>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7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72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115" w:type="dxa"/>
            <w:gridSpan w:val="3"/>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90"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7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72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工业集中区幼儿园设施设备采购</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3次</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3次</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江永工业集中区幼儿园区域柜采购</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工业集中区幼儿园窗帘采购</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1次</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工业集中区幼儿园设施设备采购完成率</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工业集中区幼儿园窗帘采购完成率</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江永工业集中区幼儿园区域柜采购完成率</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加强校园基础设施建设，保障学生与教师的校园生活</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做好设施设备维修工作，确保环境安全。提高办园水平，提高教师的教学质量，改善幼儿教学环境</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校园项目建设的成本</w:t>
            </w:r>
          </w:p>
        </w:tc>
        <w:tc>
          <w:tcPr>
            <w:tcW w:w="990"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92.819万元</w:t>
            </w:r>
          </w:p>
        </w:tc>
        <w:tc>
          <w:tcPr>
            <w:tcW w:w="52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92.819万元</w:t>
            </w:r>
          </w:p>
        </w:tc>
        <w:tc>
          <w:tcPr>
            <w:tcW w:w="7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7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02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115" w:type="dxa"/>
            <w:gridSpan w:val="3"/>
            <w:tcBorders>
              <w:top w:val="nil"/>
              <w:left w:val="single" w:color="000000" w:sz="8" w:space="0"/>
              <w:bottom w:val="single" w:color="000000" w:sz="8" w:space="0"/>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990" w:type="dxa"/>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720"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145" w:type="dxa"/>
            <w:gridSpan w:val="7"/>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770"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545"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bl>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ascii="黑体" w:hAnsi="黑体" w:eastAsia="黑体"/>
          <w:kern w:val="0"/>
          <w:sz w:val="44"/>
          <w:szCs w:val="44"/>
        </w:rPr>
      </w:pPr>
      <w:r>
        <w:rPr>
          <w:rFonts w:hint="eastAsia" w:ascii="黑体" w:hAnsi="黑体" w:eastAsia="黑体"/>
          <w:kern w:val="0"/>
          <w:sz w:val="44"/>
          <w:szCs w:val="44"/>
        </w:rPr>
        <w:t>江永</w:t>
      </w:r>
      <w:r>
        <w:rPr>
          <w:rFonts w:hint="eastAsia" w:ascii="黑体" w:hAnsi="黑体" w:eastAsia="黑体"/>
          <w:kern w:val="0"/>
          <w:sz w:val="44"/>
          <w:szCs w:val="44"/>
          <w:lang w:val="en-US" w:eastAsia="zh-CN"/>
        </w:rPr>
        <w:t>工业集中区</w:t>
      </w:r>
      <w:r>
        <w:rPr>
          <w:rFonts w:hint="eastAsia" w:ascii="黑体" w:hAnsi="黑体" w:eastAsia="黑体"/>
          <w:kern w:val="0"/>
          <w:sz w:val="44"/>
          <w:szCs w:val="44"/>
          <w:lang w:eastAsia="zh-CN"/>
        </w:rPr>
        <w:t>幼儿园</w:t>
      </w:r>
      <w:r>
        <w:rPr>
          <w:rFonts w:ascii="黑体" w:hAnsi="黑体" w:eastAsia="黑体"/>
          <w:kern w:val="0"/>
          <w:sz w:val="44"/>
          <w:szCs w:val="44"/>
        </w:rPr>
        <w:t>财政专项</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（项目）资金绩效评价表</w:t>
      </w:r>
    </w:p>
    <w:tbl>
      <w:tblPr>
        <w:tblStyle w:val="5"/>
        <w:tblW w:w="0" w:type="auto"/>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32"/>
          <w:szCs w:val="32"/>
        </w:rPr>
      </w:pPr>
    </w:p>
    <w:p/>
    <w:p>
      <w:pPr>
        <w:widowControl/>
      </w:pPr>
    </w:p>
    <w:p>
      <w:pPr>
        <w:spacing w:line="560" w:lineRule="exact"/>
        <w:jc w:val="center"/>
        <w:rPr>
          <w:rFonts w:hint="eastAsia" w:ascii="方正小标宋_GBK" w:hAnsi="方正小标宋_GBK" w:eastAsia="方正小标宋_GBK" w:cs="方正小标宋_GBK"/>
          <w:sz w:val="44"/>
          <w:szCs w:val="4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icrosoft YaHei UI">
    <w:altName w:val="宋体"/>
    <w:panose1 w:val="020B0503020204020204"/>
    <w:charset w:val="86"/>
    <w:family w:val="auto"/>
    <w:pitch w:val="default"/>
    <w:sig w:usb0="00000000" w:usb1="0000000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OGI5ZGVlNTZhZWI0ZWU4ODYwM2UwYzU5NDg5YTYifQ=="/>
    <w:docVar w:name="KSO_WPS_MARK_KEY" w:val="6aee906e-a7de-4205-b603-4d5f6656a126"/>
  </w:docVars>
  <w:rsids>
    <w:rsidRoot w:val="3B2E149E"/>
    <w:rsid w:val="00313A39"/>
    <w:rsid w:val="008A1940"/>
    <w:rsid w:val="00932553"/>
    <w:rsid w:val="00C65925"/>
    <w:rsid w:val="00C96346"/>
    <w:rsid w:val="00E82067"/>
    <w:rsid w:val="050663A2"/>
    <w:rsid w:val="13E30835"/>
    <w:rsid w:val="2C745384"/>
    <w:rsid w:val="363C2636"/>
    <w:rsid w:val="3B2E149E"/>
    <w:rsid w:val="3C593CE5"/>
    <w:rsid w:val="3DB57638"/>
    <w:rsid w:val="3E007A52"/>
    <w:rsid w:val="48D47BB5"/>
    <w:rsid w:val="498176A7"/>
    <w:rsid w:val="4C4E010F"/>
    <w:rsid w:val="5E4009DB"/>
    <w:rsid w:val="68B339A2"/>
    <w:rsid w:val="6AB01D17"/>
    <w:rsid w:val="6C65536C"/>
    <w:rsid w:val="6DAF18A6"/>
    <w:rsid w:val="6F471AE5"/>
    <w:rsid w:val="74727C2D"/>
    <w:rsid w:val="785C5C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8067</Words>
  <Characters>8781</Characters>
  <Lines>2</Lines>
  <Paragraphs>3</Paragraphs>
  <TotalTime>29</TotalTime>
  <ScaleCrop>false</ScaleCrop>
  <LinksUpToDate>false</LinksUpToDate>
  <CharactersWithSpaces>9110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Administrator</cp:lastModifiedBy>
  <cp:lastPrinted>2024-03-21T01:55:00Z</cp:lastPrinted>
  <dcterms:modified xsi:type="dcterms:W3CDTF">2024-12-25T02:22:02Z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3A96AB6AFFF7422891CEE67FCABFDC2B_13</vt:lpwstr>
  </property>
</Properties>
</file>